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398" w:rsidRDefault="00452398" w:rsidP="00B2144C">
      <w:pPr>
        <w:spacing w:line="480" w:lineRule="auto"/>
        <w:jc w:val="center"/>
        <w:rPr>
          <w:rFonts w:ascii="Times New Roman" w:hAnsi="Times New Roman" w:cs="Times New Roman"/>
          <w:sz w:val="24"/>
          <w:szCs w:val="24"/>
        </w:rPr>
      </w:pPr>
      <w:bookmarkStart w:id="0" w:name="_GoBack"/>
      <w:bookmarkEnd w:id="0"/>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8C6ACA" w:rsidRDefault="00F13CCF" w:rsidP="00B2144C">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11</w:t>
      </w:r>
    </w:p>
    <w:p w:rsidR="00452398" w:rsidRDefault="00F13CCF" w:rsidP="00B2144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2398" w:rsidRDefault="00F13CCF" w:rsidP="00B2144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452398" w:rsidRDefault="00452398" w:rsidP="00B2144C">
      <w:pPr>
        <w:spacing w:line="480" w:lineRule="auto"/>
        <w:rPr>
          <w:rFonts w:ascii="Times New Roman" w:hAnsi="Times New Roman" w:cs="Times New Roman"/>
          <w:sz w:val="24"/>
          <w:szCs w:val="24"/>
        </w:rPr>
      </w:pPr>
    </w:p>
    <w:p w:rsidR="00B2144C" w:rsidRDefault="00B2144C" w:rsidP="00B2144C">
      <w:pPr>
        <w:spacing w:line="480" w:lineRule="auto"/>
        <w:rPr>
          <w:rFonts w:ascii="Times New Roman" w:hAnsi="Times New Roman" w:cs="Times New Roman"/>
          <w:sz w:val="24"/>
          <w:szCs w:val="24"/>
        </w:rPr>
      </w:pPr>
    </w:p>
    <w:p w:rsidR="00452398" w:rsidRDefault="00452398" w:rsidP="00B2144C">
      <w:pPr>
        <w:spacing w:line="480" w:lineRule="auto"/>
        <w:jc w:val="center"/>
        <w:rPr>
          <w:rFonts w:ascii="Times New Roman" w:hAnsi="Times New Roman" w:cs="Times New Roman"/>
          <w:sz w:val="24"/>
          <w:szCs w:val="24"/>
        </w:rPr>
      </w:pPr>
    </w:p>
    <w:p w:rsidR="00AC193A" w:rsidRDefault="00F13CCF" w:rsidP="00B214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11</w:t>
      </w:r>
    </w:p>
    <w:p w:rsidR="00AD3A24" w:rsidRDefault="00F13CCF" w:rsidP="00B2144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One: compare and contrast their anti-fraud efforts</w:t>
      </w:r>
    </w:p>
    <w:p w:rsidR="00691848" w:rsidRDefault="00F13CCF" w:rsidP="00B21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Medicare and UnitedHealthcare insurance</w:t>
      </w:r>
      <w:r w:rsidR="00F72EFD">
        <w:rPr>
          <w:rFonts w:ascii="Times New Roman" w:hAnsi="Times New Roman" w:cs="Times New Roman"/>
          <w:sz w:val="24"/>
          <w:szCs w:val="24"/>
        </w:rPr>
        <w:t xml:space="preserve"> company</w:t>
      </w:r>
      <w:r w:rsidR="00622DC3">
        <w:rPr>
          <w:rFonts w:ascii="Times New Roman" w:hAnsi="Times New Roman" w:cs="Times New Roman"/>
          <w:sz w:val="24"/>
          <w:szCs w:val="24"/>
        </w:rPr>
        <w:t xml:space="preserve"> </w:t>
      </w:r>
      <w:r>
        <w:rPr>
          <w:rFonts w:ascii="Times New Roman" w:hAnsi="Times New Roman" w:cs="Times New Roman"/>
          <w:sz w:val="24"/>
          <w:szCs w:val="24"/>
        </w:rPr>
        <w:t>are some of the third party payers that have made anti-fraud efforts</w:t>
      </w:r>
      <w:r>
        <w:rPr>
          <w:rFonts w:ascii="Times New Roman" w:hAnsi="Times New Roman" w:cs="Times New Roman"/>
          <w:sz w:val="24"/>
          <w:szCs w:val="24"/>
        </w:rPr>
        <w:t xml:space="preserve"> to improve the quality of services to their clients.</w:t>
      </w:r>
      <w:r w:rsidR="00B80E12">
        <w:rPr>
          <w:rFonts w:ascii="Times New Roman" w:hAnsi="Times New Roman" w:cs="Times New Roman"/>
          <w:sz w:val="24"/>
          <w:szCs w:val="24"/>
        </w:rPr>
        <w:t xml:space="preserve"> One of the similarities between Medicare and UnitedHealthcare </w:t>
      </w:r>
      <w:r w:rsidR="0083442A">
        <w:rPr>
          <w:rFonts w:ascii="Times New Roman" w:hAnsi="Times New Roman" w:cs="Times New Roman"/>
          <w:sz w:val="24"/>
          <w:szCs w:val="24"/>
        </w:rPr>
        <w:t>Company</w:t>
      </w:r>
      <w:r w:rsidR="00B80E12">
        <w:rPr>
          <w:rFonts w:ascii="Times New Roman" w:hAnsi="Times New Roman" w:cs="Times New Roman"/>
          <w:sz w:val="24"/>
          <w:szCs w:val="24"/>
        </w:rPr>
        <w:t xml:space="preserve"> is that they have </w:t>
      </w:r>
      <w:r w:rsidR="0083442A">
        <w:rPr>
          <w:rFonts w:ascii="Times New Roman" w:hAnsi="Times New Roman" w:cs="Times New Roman"/>
          <w:sz w:val="24"/>
          <w:szCs w:val="24"/>
        </w:rPr>
        <w:t>specific policies that aim</w:t>
      </w:r>
      <w:r w:rsidR="00B80E12">
        <w:rPr>
          <w:rFonts w:ascii="Times New Roman" w:hAnsi="Times New Roman" w:cs="Times New Roman"/>
          <w:sz w:val="24"/>
          <w:szCs w:val="24"/>
        </w:rPr>
        <w:t xml:space="preserve"> at curbing fraud at any level in health care coverage.</w:t>
      </w:r>
      <w:r w:rsidR="005663D6">
        <w:rPr>
          <w:rFonts w:ascii="Times New Roman" w:hAnsi="Times New Roman" w:cs="Times New Roman"/>
          <w:sz w:val="24"/>
          <w:szCs w:val="24"/>
        </w:rPr>
        <w:t xml:space="preserve"> </w:t>
      </w:r>
      <w:r w:rsidR="00666129">
        <w:rPr>
          <w:rFonts w:ascii="Times New Roman" w:hAnsi="Times New Roman" w:cs="Times New Roman"/>
          <w:sz w:val="24"/>
          <w:szCs w:val="24"/>
        </w:rPr>
        <w:t>Medicare implements various Federal laws such as the False Claims Act (FCA), Anti-Kickback Statute (AKS), Physician Self-Referral Law, and United States Criminal Code to prevent fraud in its systems.</w:t>
      </w:r>
      <w:r w:rsidR="00EB1D77">
        <w:rPr>
          <w:rFonts w:ascii="Times New Roman" w:hAnsi="Times New Roman" w:cs="Times New Roman"/>
          <w:sz w:val="24"/>
          <w:szCs w:val="24"/>
        </w:rPr>
        <w:t xml:space="preserve"> </w:t>
      </w:r>
      <w:r w:rsidR="0081590A">
        <w:rPr>
          <w:rFonts w:ascii="Times New Roman" w:hAnsi="Times New Roman" w:cs="Times New Roman"/>
          <w:sz w:val="24"/>
          <w:szCs w:val="24"/>
        </w:rPr>
        <w:t>These laws outline</w:t>
      </w:r>
      <w:r w:rsidR="00EB1D77">
        <w:rPr>
          <w:rFonts w:ascii="Times New Roman" w:hAnsi="Times New Roman" w:cs="Times New Roman"/>
          <w:sz w:val="24"/>
          <w:szCs w:val="24"/>
        </w:rPr>
        <w:t xml:space="preserve"> specific remedies and penalties that might be imposed on an</w:t>
      </w:r>
      <w:r w:rsidR="004C1143">
        <w:rPr>
          <w:rFonts w:ascii="Times New Roman" w:hAnsi="Times New Roman" w:cs="Times New Roman"/>
          <w:sz w:val="24"/>
          <w:szCs w:val="24"/>
        </w:rPr>
        <w:t>y party that commits any fraud. I</w:t>
      </w:r>
      <w:r w:rsidR="00210841">
        <w:rPr>
          <w:rFonts w:ascii="Times New Roman" w:hAnsi="Times New Roman" w:cs="Times New Roman"/>
          <w:sz w:val="24"/>
          <w:szCs w:val="24"/>
        </w:rPr>
        <w:t xml:space="preserve">n the same vein, the UnitedHealthcare Insurance Company </w:t>
      </w:r>
      <w:r w:rsidR="007D449C">
        <w:rPr>
          <w:rFonts w:ascii="Times New Roman" w:hAnsi="Times New Roman" w:cs="Times New Roman"/>
          <w:sz w:val="24"/>
          <w:szCs w:val="24"/>
        </w:rPr>
        <w:t>has initiated a Fraud, Waste, and Abuse pro</w:t>
      </w:r>
      <w:r w:rsidR="00CF57F6">
        <w:rPr>
          <w:rFonts w:ascii="Times New Roman" w:hAnsi="Times New Roman" w:cs="Times New Roman"/>
          <w:sz w:val="24"/>
          <w:szCs w:val="24"/>
        </w:rPr>
        <w:t xml:space="preserve">gram as an anti-fraud mechanism. The </w:t>
      </w:r>
      <w:r w:rsidR="00F25B3B">
        <w:rPr>
          <w:rFonts w:ascii="Times New Roman" w:hAnsi="Times New Roman" w:cs="Times New Roman"/>
          <w:sz w:val="24"/>
          <w:szCs w:val="24"/>
        </w:rPr>
        <w:t>functions of this program include monitoring reimbursements to enhance accuracy, conducting proper retrospective investigations of any suspected case of fraud, and promote</w:t>
      </w:r>
      <w:r w:rsidR="00CF57F6">
        <w:rPr>
          <w:rFonts w:ascii="Times New Roman" w:hAnsi="Times New Roman" w:cs="Times New Roman"/>
          <w:sz w:val="24"/>
          <w:szCs w:val="24"/>
        </w:rPr>
        <w:t xml:space="preserve"> payment integ</w:t>
      </w:r>
      <w:r w:rsidR="00D11D25">
        <w:rPr>
          <w:rFonts w:ascii="Times New Roman" w:hAnsi="Times New Roman" w:cs="Times New Roman"/>
          <w:sz w:val="24"/>
          <w:szCs w:val="24"/>
        </w:rPr>
        <w:t xml:space="preserve">rity in this institution. </w:t>
      </w:r>
      <w:r w:rsidR="00C675E0">
        <w:rPr>
          <w:rFonts w:ascii="Times New Roman" w:hAnsi="Times New Roman" w:cs="Times New Roman"/>
          <w:sz w:val="24"/>
          <w:szCs w:val="24"/>
        </w:rPr>
        <w:t xml:space="preserve">One of the differences between Medicare and UnitedHealthcare based on various forms of health care fraud and abuse schemes. It is evident that UnitedHealthcare clearly stated schemes such as health care scams targeting the Medicare population, </w:t>
      </w:r>
      <w:r w:rsidR="001230D0">
        <w:rPr>
          <w:rFonts w:ascii="Times New Roman" w:hAnsi="Times New Roman" w:cs="Times New Roman"/>
          <w:sz w:val="24"/>
          <w:szCs w:val="24"/>
        </w:rPr>
        <w:t>Orthotics</w:t>
      </w:r>
      <w:r w:rsidR="00C675E0">
        <w:rPr>
          <w:rFonts w:ascii="Times New Roman" w:hAnsi="Times New Roman" w:cs="Times New Roman"/>
          <w:sz w:val="24"/>
          <w:szCs w:val="24"/>
        </w:rPr>
        <w:t xml:space="preserve"> and durable medical equipment scams, and DNA scams. All of these schemes are not properly listed by Medicare health care co</w:t>
      </w:r>
      <w:r w:rsidR="00781B7D">
        <w:rPr>
          <w:rFonts w:ascii="Times New Roman" w:hAnsi="Times New Roman" w:cs="Times New Roman"/>
          <w:sz w:val="24"/>
          <w:szCs w:val="24"/>
        </w:rPr>
        <w:t>verage on their websi</w:t>
      </w:r>
      <w:r w:rsidR="00C675E0">
        <w:rPr>
          <w:rFonts w:ascii="Times New Roman" w:hAnsi="Times New Roman" w:cs="Times New Roman"/>
          <w:sz w:val="24"/>
          <w:szCs w:val="24"/>
        </w:rPr>
        <w:t>te.</w:t>
      </w:r>
      <w:r w:rsidR="006E55B6">
        <w:rPr>
          <w:rFonts w:ascii="Times New Roman" w:hAnsi="Times New Roman" w:cs="Times New Roman"/>
          <w:sz w:val="24"/>
          <w:szCs w:val="24"/>
        </w:rPr>
        <w:t xml:space="preserve">  </w:t>
      </w:r>
    </w:p>
    <w:p w:rsidR="009F12BB" w:rsidRDefault="00F13CCF" w:rsidP="00B2144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Two: </w:t>
      </w:r>
      <w:r w:rsidR="00D0769E">
        <w:rPr>
          <w:rFonts w:ascii="Times New Roman" w:hAnsi="Times New Roman" w:cs="Times New Roman"/>
          <w:b/>
          <w:sz w:val="24"/>
          <w:szCs w:val="24"/>
        </w:rPr>
        <w:t>compare and contrast their appeals processes</w:t>
      </w:r>
    </w:p>
    <w:p w:rsidR="009B08A0" w:rsidRDefault="00F13CCF" w:rsidP="00B214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similarities in the appeal process of Medicare and UnitedHealthcare is based </w:t>
      </w:r>
      <w:r w:rsidR="00C04F15">
        <w:rPr>
          <w:rFonts w:ascii="Times New Roman" w:hAnsi="Times New Roman" w:cs="Times New Roman"/>
          <w:sz w:val="24"/>
          <w:szCs w:val="24"/>
        </w:rPr>
        <w:t xml:space="preserve">on the conditions required to make an appeal. In both, an individual can appeal if he or she is denied the request to get health care service, a drug that should be covered, changing the amount being paid, or even requesting payment for a health care service. </w:t>
      </w:r>
      <w:r w:rsidR="002C66D2">
        <w:rPr>
          <w:rFonts w:ascii="Times New Roman" w:hAnsi="Times New Roman" w:cs="Times New Roman"/>
          <w:sz w:val="24"/>
          <w:szCs w:val="24"/>
        </w:rPr>
        <w:t xml:space="preserve">On the other hand, these organizations have different appeal steps. </w:t>
      </w:r>
      <w:r w:rsidR="008207CE">
        <w:rPr>
          <w:rFonts w:ascii="Times New Roman" w:hAnsi="Times New Roman" w:cs="Times New Roman"/>
          <w:sz w:val="24"/>
          <w:szCs w:val="24"/>
        </w:rPr>
        <w:t xml:space="preserve">The appeal process in Medicare entails </w:t>
      </w:r>
      <w:r w:rsidR="008207CE">
        <w:rPr>
          <w:rFonts w:ascii="Times New Roman" w:hAnsi="Times New Roman" w:cs="Times New Roman"/>
          <w:sz w:val="24"/>
          <w:szCs w:val="24"/>
        </w:rPr>
        <w:lastRenderedPageBreak/>
        <w:t xml:space="preserve">five levels that include Redetermination by the company, reconsideration by a qualified independent contractor, decisions by the Office of Medicare Hearings and Appeals, Review by the Medicare Appeals Council, and Judicial review by the federal district court. </w:t>
      </w:r>
      <w:r w:rsidR="00CE5449">
        <w:rPr>
          <w:rFonts w:ascii="Times New Roman" w:hAnsi="Times New Roman" w:cs="Times New Roman"/>
          <w:sz w:val="24"/>
          <w:szCs w:val="24"/>
        </w:rPr>
        <w:t>On the other hand, the UnitedHealthcare appeal process entails filling out the appointment of representative form, providing Medicare Advantage health plan details, provision of personal contact information, providing Medicare Beneficiary Identifier, and signatures by an applicant and representative</w:t>
      </w:r>
      <w:r w:rsidR="00007448">
        <w:rPr>
          <w:rFonts w:ascii="Times New Roman" w:hAnsi="Times New Roman" w:cs="Times New Roman"/>
          <w:sz w:val="24"/>
          <w:szCs w:val="24"/>
        </w:rPr>
        <w:t xml:space="preserve">. </w:t>
      </w:r>
    </w:p>
    <w:p w:rsidR="00AE39D5" w:rsidRPr="00AE39D5" w:rsidRDefault="00F13CCF" w:rsidP="00B2144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E39D5" w:rsidRPr="00AE39D5" w:rsidSect="0045239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CCF" w:rsidRDefault="00F13CCF">
      <w:pPr>
        <w:spacing w:after="0" w:line="240" w:lineRule="auto"/>
      </w:pPr>
      <w:r>
        <w:separator/>
      </w:r>
    </w:p>
  </w:endnote>
  <w:endnote w:type="continuationSeparator" w:id="0">
    <w:p w:rsidR="00F13CCF" w:rsidRDefault="00F13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CCF" w:rsidRDefault="00F13CCF">
      <w:pPr>
        <w:spacing w:after="0" w:line="240" w:lineRule="auto"/>
      </w:pPr>
      <w:r>
        <w:separator/>
      </w:r>
    </w:p>
  </w:footnote>
  <w:footnote w:type="continuationSeparator" w:id="0">
    <w:p w:rsidR="00F13CCF" w:rsidRDefault="00F13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246212"/>
      <w:docPartObj>
        <w:docPartGallery w:val="Page Numbers (Top of Page)"/>
        <w:docPartUnique/>
      </w:docPartObj>
    </w:sdtPr>
    <w:sdtEndPr>
      <w:rPr>
        <w:rFonts w:ascii="Times New Roman" w:hAnsi="Times New Roman" w:cs="Times New Roman"/>
        <w:noProof/>
        <w:sz w:val="24"/>
        <w:szCs w:val="24"/>
      </w:rPr>
    </w:sdtEndPr>
    <w:sdtContent>
      <w:p w:rsidR="00452398" w:rsidRPr="00452398" w:rsidRDefault="00F13CCF">
        <w:pPr>
          <w:pStyle w:val="Header"/>
          <w:jc w:val="right"/>
          <w:rPr>
            <w:rFonts w:ascii="Times New Roman" w:hAnsi="Times New Roman" w:cs="Times New Roman"/>
            <w:sz w:val="24"/>
            <w:szCs w:val="24"/>
          </w:rPr>
        </w:pPr>
        <w:r>
          <w:rPr>
            <w:rFonts w:ascii="Times New Roman" w:hAnsi="Times New Roman" w:cs="Times New Roman"/>
            <w:sz w:val="24"/>
            <w:szCs w:val="24"/>
          </w:rPr>
          <w:t xml:space="preserve">CHAPTER 11 </w:t>
        </w:r>
        <w:r>
          <w:rPr>
            <w:rFonts w:ascii="Times New Roman" w:hAnsi="Times New Roman" w:cs="Times New Roman"/>
            <w:sz w:val="24"/>
            <w:szCs w:val="24"/>
          </w:rPr>
          <w:t xml:space="preserve">                                                                                                                            </w:t>
        </w:r>
        <w:r w:rsidRPr="00452398">
          <w:rPr>
            <w:rFonts w:ascii="Times New Roman" w:hAnsi="Times New Roman" w:cs="Times New Roman"/>
            <w:sz w:val="24"/>
            <w:szCs w:val="24"/>
          </w:rPr>
          <w:fldChar w:fldCharType="begin"/>
        </w:r>
        <w:r w:rsidRPr="00452398">
          <w:rPr>
            <w:rFonts w:ascii="Times New Roman" w:hAnsi="Times New Roman" w:cs="Times New Roman"/>
            <w:sz w:val="24"/>
            <w:szCs w:val="24"/>
          </w:rPr>
          <w:instrText xml:space="preserve"> PAGE   \* MERGEFORMAT </w:instrText>
        </w:r>
        <w:r w:rsidRPr="00452398">
          <w:rPr>
            <w:rFonts w:ascii="Times New Roman" w:hAnsi="Times New Roman" w:cs="Times New Roman"/>
            <w:sz w:val="24"/>
            <w:szCs w:val="24"/>
          </w:rPr>
          <w:fldChar w:fldCharType="separate"/>
        </w:r>
        <w:r w:rsidR="00620F32">
          <w:rPr>
            <w:rFonts w:ascii="Times New Roman" w:hAnsi="Times New Roman" w:cs="Times New Roman"/>
            <w:noProof/>
            <w:sz w:val="24"/>
            <w:szCs w:val="24"/>
          </w:rPr>
          <w:t>2</w:t>
        </w:r>
        <w:r w:rsidRPr="00452398">
          <w:rPr>
            <w:rFonts w:ascii="Times New Roman" w:hAnsi="Times New Roman" w:cs="Times New Roman"/>
            <w:noProof/>
            <w:sz w:val="24"/>
            <w:szCs w:val="24"/>
          </w:rPr>
          <w:fldChar w:fldCharType="end"/>
        </w:r>
      </w:p>
    </w:sdtContent>
  </w:sdt>
  <w:p w:rsidR="00452398" w:rsidRDefault="004523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398" w:rsidRPr="00452398" w:rsidRDefault="00F13CCF">
    <w:pPr>
      <w:pStyle w:val="Header"/>
      <w:rPr>
        <w:rFonts w:ascii="Times New Roman" w:hAnsi="Times New Roman" w:cs="Times New Roman"/>
        <w:sz w:val="24"/>
        <w:szCs w:val="24"/>
      </w:rPr>
    </w:pPr>
    <w:r>
      <w:rPr>
        <w:rFonts w:ascii="Times New Roman" w:hAnsi="Times New Roman" w:cs="Times New Roman"/>
        <w:sz w:val="24"/>
        <w:szCs w:val="24"/>
      </w:rPr>
      <w:t xml:space="preserve">Running head: CHAPTER 11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532"/>
    <w:rsid w:val="00007448"/>
    <w:rsid w:val="00016644"/>
    <w:rsid w:val="001230D0"/>
    <w:rsid w:val="00142443"/>
    <w:rsid w:val="00172223"/>
    <w:rsid w:val="00210841"/>
    <w:rsid w:val="002C66D2"/>
    <w:rsid w:val="00452398"/>
    <w:rsid w:val="004C1143"/>
    <w:rsid w:val="005663D6"/>
    <w:rsid w:val="00620F32"/>
    <w:rsid w:val="00622DC3"/>
    <w:rsid w:val="00666129"/>
    <w:rsid w:val="00691848"/>
    <w:rsid w:val="006E55B6"/>
    <w:rsid w:val="006F6DFE"/>
    <w:rsid w:val="00781B7D"/>
    <w:rsid w:val="007D449C"/>
    <w:rsid w:val="0081590A"/>
    <w:rsid w:val="008207CE"/>
    <w:rsid w:val="0083442A"/>
    <w:rsid w:val="008C6ACA"/>
    <w:rsid w:val="009B08A0"/>
    <w:rsid w:val="009C4532"/>
    <w:rsid w:val="009F12BB"/>
    <w:rsid w:val="00A65FCA"/>
    <w:rsid w:val="00AC193A"/>
    <w:rsid w:val="00AD3A24"/>
    <w:rsid w:val="00AE39D5"/>
    <w:rsid w:val="00B2144C"/>
    <w:rsid w:val="00B80E12"/>
    <w:rsid w:val="00C04F15"/>
    <w:rsid w:val="00C14D4A"/>
    <w:rsid w:val="00C675E0"/>
    <w:rsid w:val="00C81AE2"/>
    <w:rsid w:val="00CE5449"/>
    <w:rsid w:val="00CF57F6"/>
    <w:rsid w:val="00D0769E"/>
    <w:rsid w:val="00D11D25"/>
    <w:rsid w:val="00DF7314"/>
    <w:rsid w:val="00EB1D77"/>
    <w:rsid w:val="00EE0460"/>
    <w:rsid w:val="00EE6810"/>
    <w:rsid w:val="00F13CCF"/>
    <w:rsid w:val="00F25B3B"/>
    <w:rsid w:val="00F721DE"/>
    <w:rsid w:val="00F72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398"/>
  </w:style>
  <w:style w:type="paragraph" w:styleId="Footer">
    <w:name w:val="footer"/>
    <w:basedOn w:val="Normal"/>
    <w:link w:val="FooterChar"/>
    <w:uiPriority w:val="99"/>
    <w:unhideWhenUsed/>
    <w:rsid w:val="00452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3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398"/>
  </w:style>
  <w:style w:type="paragraph" w:styleId="Footer">
    <w:name w:val="footer"/>
    <w:basedOn w:val="Normal"/>
    <w:link w:val="FooterChar"/>
    <w:uiPriority w:val="99"/>
    <w:unhideWhenUsed/>
    <w:rsid w:val="00452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2020-06-24T11:43:00Z</dcterms:created>
  <dcterms:modified xsi:type="dcterms:W3CDTF">2020-06-24T11:43:00Z</dcterms:modified>
</cp:coreProperties>
</file>